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48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ANNUAL MEETING, BAKU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2-5 MAY 2015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  <w:i w:val="1"/>
          <w:smallCaps w:val="0"/>
          <w:color w:val="4f81bd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color w:val="4f81bd"/>
          <w:rtl w:val="0"/>
        </w:rPr>
        <w:t xml:space="preserve">Initial Assessment Mission: Mission Objectives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1"/>
          <w:i w:val="1"/>
          <w:smallCaps w:val="0"/>
          <w:color w:val="4f81b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8"/>
        <w:gridCol w:w="3330"/>
        <w:tblGridChange w:id="0">
          <w:tblGrid>
            <w:gridCol w:w="7218"/>
            <w:gridCol w:w="333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ISSUES</w:t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OUTCOME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   ROLES AND RESPONSIBILITIES</w:t>
            </w:r>
          </w:p>
        </w:tc>
        <w:tc>
          <w:tcPr>
            <w:tcBorders>
              <w:left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Role of host country: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Host Annual Meeting in accordance with MOU &amp; cost sharing/accord privileges &amp; facilitate entry, etc.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Liaise with ADB; communicate frequently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logistics arrangement for ADB missions to Azerbaijan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information to be sent to all participants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secretariat (host country organizing committee and a focal person who will work with ADB)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Coordinate among all parties on AZE side, e.g., PCO (if any), central &amp; local Governments, travel agencies, service providers, etc.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lists of guests from Azerbaijan (govt. officials, private sector, media, NGOs)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Update Schedule of Host Country Activities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tabs>
                <w:tab w:val="left" w:pos="90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Host country's schedule of activities: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Consultation missions 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Establishment mission 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Host country to visit ADB 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Technical mission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President’s mission - including a courtesy call to Guest of Honor (GOH)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Role of ADB Secretariat: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ADB Secretariat Organizational Chart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Liaise with host country secretariat; communicate frequently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Send information to all participants 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Coordinate with host country counterparts and among all ADB unit heads to arrange logistics and requirements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Ensure deadlines are met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Role of Resident Mission: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Mission logistics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President's visit - program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Outreach program (under DOC)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numPr>
                <w:ilvl w:val="0"/>
                <w:numId w:val="1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Follow up and liaison with the host country as needed.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before="12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   AGREEMENTS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Draft MOU and Cost sharing arrangement: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numPr>
                <w:ilvl w:val="0"/>
                <w:numId w:val="2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Signatory for Azerbaijan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2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Arrangements for signing of MOU 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Visa and Protocol Issues: 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numPr>
                <w:ilvl w:val="0"/>
                <w:numId w:val="3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host country role in facilitating visas for all participants; information to be provided and accepted by embassies 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3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Confirm waiver of visa fees for ADB personnel 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0"/>
                <w:numId w:val="3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information ADB can provide on secure website for embassies (see security)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numPr>
                <w:ilvl w:val="0"/>
                <w:numId w:val="3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Protocol: VIP reception at airport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Tax exemption: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numPr>
                <w:ilvl w:val="0"/>
                <w:numId w:val="6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Confirm that Government of Azerbaijan (GOA) is willing to honor privileges &amp; immunities as set out in Articles 55 &amp; 56 of Charter &amp; in MOU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numPr>
                <w:ilvl w:val="0"/>
                <w:numId w:val="6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possible procedure (i.e. exemption vs reimbursement)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Customs/Import duties for ADB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3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Confirm importation free of duty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3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generic list of items for exemption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Protocol issues: 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numPr>
                <w:ilvl w:val="0"/>
                <w:numId w:val="3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Scenario for VIP; close consultation with host country protocol; walk through, etc.; focal person for protocol issues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numPr>
                <w:ilvl w:val="0"/>
                <w:numId w:val="3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Guest of Honor at Opening Session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numPr>
                <w:ilvl w:val="0"/>
                <w:numId w:val="3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Scenario for networking events, e.g., President's Reception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numPr>
                <w:ilvl w:val="0"/>
                <w:numId w:val="3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Scenario for Governors' seminar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3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Head table seating at joint luncheon; ADB shares this information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numPr>
                <w:ilvl w:val="0"/>
                <w:numId w:val="3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Protocol at events &amp; airport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Airport services: 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numPr>
                <w:ilvl w:val="0"/>
                <w:numId w:val="10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Discuss how to handle arrivals and departures; customs, immigration, baggage procedures; VIP procedures &amp; visit VIP lounge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numPr>
                <w:ilvl w:val="0"/>
                <w:numId w:val="10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Discuss arrangements required; handling of luggage, shuttle service etc.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0"/>
                <w:numId w:val="10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Visit airport: arrival &amp; departure area &amp; VIP lounge; request plan of airport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   DETAILS OF ANNUAL MEETING</w:t>
            </w:r>
          </w:p>
        </w:tc>
        <w:tc>
          <w:tcPr>
            <w:tcBorders>
              <w:left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Events at Annual Meeting and side meetings: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numPr>
                <w:ilvl w:val="0"/>
                <w:numId w:val="7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 of events: Point out initial two days and official days (last two)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numPr>
                <w:ilvl w:val="0"/>
                <w:numId w:val="7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Key and non negotiable events: Governors’ seminar, Presidents’ Reception, Opening Session, Governors' Roundtable, Joint luncheon, 2 business sessions, reception by host country (may be sponsored) &amp; luncheon for Governors hosted by the Guest of Honor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numPr>
                <w:ilvl w:val="0"/>
                <w:numId w:val="7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Opening and Closing Press Conferences by ADB President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numPr>
                <w:ilvl w:val="0"/>
                <w:numId w:val="7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Schedule of events: President’s meeting with Chair; number of activities on 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day &amp; space implications; signing of MOUs and loan agreements;  ASEAN+3 Meetings;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numPr>
                <w:ilvl w:val="0"/>
                <w:numId w:val="7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Seminars: ADB, sponsored, &amp; country presentations; host country day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Opening Session, Guest of Honor: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8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Program: 3 speeches &amp; cultural event (optional)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numPr>
                <w:ilvl w:val="0"/>
                <w:numId w:val="8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Host to propose Guest of Honor, e.g. Head of State; to request attendance well in advance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numPr>
                <w:ilvl w:val="0"/>
                <w:numId w:val="8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Seating plan: special seating for VIPs, Governors etc.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numPr>
                <w:ilvl w:val="0"/>
                <w:numId w:val="8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Protocol scenario: step by step, prepared by ADB in consultation with host country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Security: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numPr>
                <w:ilvl w:val="0"/>
                <w:numId w:val="4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that host country is responsible for security and highlight main requirements from ADB side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numPr>
                <w:ilvl w:val="0"/>
                <w:numId w:val="4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role of ADB Head of Security &amp; his mission to AZE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numPr>
                <w:ilvl w:val="0"/>
                <w:numId w:val="4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Point out daily meetings of security advisory committee &amp; need for host country representatives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numPr>
                <w:ilvl w:val="0"/>
                <w:numId w:val="4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information ADB can provide about registered participants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   SPONSORSHIP </w:t>
            </w:r>
          </w:p>
        </w:tc>
        <w:tc>
          <w:tcPr>
            <w:tcBorders>
              <w:left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Sponsorship and promotion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numPr>
                <w:ilvl w:val="0"/>
                <w:numId w:val="9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ADB’s guidelines on sponsorship; avoid too commercial look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numPr>
                <w:ilvl w:val="0"/>
                <w:numId w:val="9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Point out companies who sponsored in Kyoto, either cash or in kind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numPr>
                <w:ilvl w:val="0"/>
                <w:numId w:val="9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GOA to prepare brochure for companies (sample)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numPr>
                <w:ilvl w:val="0"/>
                <w:numId w:val="9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Promotion by print, media &amp; outreach 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numPr>
                <w:ilvl w:val="0"/>
                <w:numId w:val="9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Branding of meeting using logo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pageBreakBefore w:val="0"/>
              <w:widowControl w:val="0"/>
              <w:ind w:left="36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Cost-cutting measures for Government to consider: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numPr>
                <w:ilvl w:val="0"/>
                <w:numId w:val="5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Handicrafts exhibition and sales area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numPr>
                <w:ilvl w:val="0"/>
                <w:numId w:val="5"/>
              </w:numPr>
              <w:ind w:left="108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Paying A.P.P.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170" w:top="630" w:left="9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995160" cy="22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53183" y="3773650"/>
                        <a:ext cx="6985635" cy="127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995160" cy="222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9516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6390551</wp:posOffset>
          </wp:positionH>
          <wp:positionV relativeFrom="paragraph">
            <wp:posOffset>12700</wp:posOffset>
          </wp:positionV>
          <wp:extent cx="598053" cy="598053"/>
          <wp:effectExtent b="0" l="0" r="0" t="0"/>
          <wp:wrapSquare wrapText="bothSides" distB="0" distT="0" distL="114300" distR="114300"/>
          <wp:docPr descr="A picture containing drawing&#10;&#10;Description automatically generated" id="2" name="image1.jpg"/>
          <a:graphic>
            <a:graphicData uri="http://schemas.openxmlformats.org/drawingml/2006/picture">
              <pic:pic>
                <pic:nvPicPr>
                  <pic:cNvPr descr="A picture containing drawing&#10;&#10;Description automatically generated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053" cy="59805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Appendi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  <w:rtl w:val="0"/>
      </w:rPr>
      <w:t xml:space="preserve">x </w:t>
    </w:r>
    <w:r w:rsidDel="00000000" w:rsidR="00000000" w:rsidRPr="00000000">
      <w:rPr>
        <w:rtl w:val="0"/>
      </w:rPr>
      <w:t xml:space="preserve">35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  <w:rtl w:val="0"/>
      </w:rPr>
      <w:t xml:space="preserve">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Initial Assessment Mission Objectives sample</w:t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240" w:lineRule="auto"/>
      <w:ind w:left="720" w:hanging="720"/>
      <w:jc w:val="center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240" w:lineRule="auto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240" w:lineRule="auto"/>
      <w:ind w:left="144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240" w:lineRule="auto"/>
      <w:ind w:left="2160" w:hanging="720"/>
      <w:jc w:val="left"/>
    </w:pPr>
    <w:rPr>
      <w:b w:val="1"/>
    </w:rPr>
  </w:style>
  <w:style w:type="paragraph" w:styleId="Heading5">
    <w:name w:val="heading 5"/>
    <w:basedOn w:val="Normal"/>
    <w:next w:val="Normal"/>
    <w:pPr>
      <w:pageBreakBefore w:val="0"/>
      <w:spacing w:after="240" w:lineRule="auto"/>
      <w:ind w:left="2880" w:hanging="720"/>
    </w:pPr>
    <w:rPr>
      <w:b w:val="1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  <w:ind w:left="4320" w:hanging="720"/>
    </w:pPr>
    <w:rPr>
      <w:i w:val="1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Times New Roman" w:cs="Times New Roman" w:eastAsia="Times New Roman" w:hAnsi="Times New Roman"/>
      <w:b w:val="1"/>
      <w:color w:val="0000ff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